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505"/>
        <w:gridCol w:w="3690"/>
        <w:gridCol w:w="3870"/>
      </w:tblGrid>
      <w:tr w:rsidR="00592D46" w14:paraId="17709A26" w14:textId="77777777" w:rsidTr="00592D46">
        <w:tc>
          <w:tcPr>
            <w:tcW w:w="11065" w:type="dxa"/>
            <w:gridSpan w:val="3"/>
          </w:tcPr>
          <w:p w14:paraId="77449E78" w14:textId="0C01C8E6" w:rsidR="00F07633" w:rsidRDefault="00F07633" w:rsidP="00F07633">
            <w:r w:rsidRPr="00F07633">
              <w:rPr>
                <w:noProof/>
              </w:rPr>
              <w:drawing>
                <wp:inline distT="0" distB="0" distL="0" distR="0" wp14:anchorId="180FBAD8" wp14:editId="0238990F">
                  <wp:extent cx="803411" cy="831850"/>
                  <wp:effectExtent l="0" t="0" r="0" b="6350"/>
                  <wp:docPr id="2" name="Picture 8" descr="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AD65BD-6A12-A69A-D49C-9217753071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1AD65BD-6A12-A69A-D49C-9217753071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1521" cy="84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</w:t>
            </w:r>
            <w:r w:rsidRPr="00A455A5">
              <w:rPr>
                <w:noProof/>
              </w:rPr>
              <w:drawing>
                <wp:inline distT="0" distB="0" distL="0" distR="0" wp14:anchorId="4CE78F50" wp14:editId="43C866E6">
                  <wp:extent cx="876300" cy="952500"/>
                  <wp:effectExtent l="0" t="0" r="0" b="0"/>
                  <wp:docPr id="229" name="Google Shape;229;p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Google Shape;229;p3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t="4120" b="-4119"/>
                          <a:stretch/>
                        </pic:blipFill>
                        <pic:spPr>
                          <a:xfrm>
                            <a:off x="0" y="0"/>
                            <a:ext cx="876329" cy="95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</w:t>
            </w:r>
          </w:p>
          <w:p w14:paraId="7BDECEA7" w14:textId="2C2CAAC2" w:rsidR="00A455A5" w:rsidRDefault="00A455A5" w:rsidP="00A455A5">
            <w:pPr>
              <w:jc w:val="right"/>
              <w:rPr>
                <w:lang w:val="en-US"/>
              </w:rPr>
            </w:pPr>
          </w:p>
          <w:p w14:paraId="74BEFE3C" w14:textId="75593F50" w:rsidR="00592D46" w:rsidRDefault="00592D46" w:rsidP="00592D46">
            <w:pPr>
              <w:rPr>
                <w:lang w:val="en-US"/>
              </w:rPr>
            </w:pPr>
            <w:r>
              <w:rPr>
                <w:lang w:val="en-US"/>
              </w:rPr>
              <w:t>At Brant Haldimand Norfolk Catholic District School Board, w</w:t>
            </w:r>
            <w:r w:rsidRPr="00592D46">
              <w:rPr>
                <w:lang w:val="en-US"/>
              </w:rPr>
              <w:t>e are committed to providing students with safe and welcoming learning spaces to support belonging, wellness</w:t>
            </w:r>
            <w:r w:rsidR="00F81942">
              <w:rPr>
                <w:lang w:val="en-US"/>
              </w:rPr>
              <w:t>,</w:t>
            </w:r>
            <w:r w:rsidRPr="00592D46">
              <w:rPr>
                <w:lang w:val="en-US"/>
              </w:rPr>
              <w:t xml:space="preserve"> and teaching/learning.</w:t>
            </w:r>
          </w:p>
          <w:p w14:paraId="69C2B73E" w14:textId="58BBC5E3" w:rsidR="00592D46" w:rsidRPr="00592D46" w:rsidRDefault="00592D46" w:rsidP="00592D46"/>
          <w:p w14:paraId="5E2C3370" w14:textId="76290B8B" w:rsidR="00592D46" w:rsidRPr="00592D46" w:rsidRDefault="00592D46" w:rsidP="00592D46">
            <w:r w:rsidRPr="00592D46">
              <w:rPr>
                <w:lang w:val="en-US"/>
              </w:rPr>
              <w:t>This year we have embraced the Ministry’s call to develop a BHNCDSB Math Action Plan for student achievement</w:t>
            </w:r>
            <w:r>
              <w:rPr>
                <w:lang w:val="en-US"/>
              </w:rPr>
              <w:t>,</w:t>
            </w:r>
            <w:r w:rsidRPr="00592D46">
              <w:rPr>
                <w:lang w:val="en-US"/>
              </w:rPr>
              <w:t xml:space="preserve"> offering every student the chance to excel in mathematics and help them build foundational skills and strategies to become successful math learners.</w:t>
            </w:r>
          </w:p>
          <w:p w14:paraId="640ED132" w14:textId="77777777" w:rsidR="00592D46" w:rsidRDefault="00592D46" w:rsidP="00592D46">
            <w:pPr>
              <w:rPr>
                <w:lang w:val="en-US"/>
              </w:rPr>
            </w:pPr>
          </w:p>
          <w:p w14:paraId="5EE522B0" w14:textId="1FACDC05" w:rsidR="00592D46" w:rsidRDefault="00592D46" w:rsidP="00592D46">
            <w:r w:rsidRPr="00592D46">
              <w:rPr>
                <w:lang w:val="en-US"/>
              </w:rPr>
              <w:t>Our goal is to ensure all students see themselves as mathematicians, learning the skills necessary to achieve success in the classroom and beyond.</w:t>
            </w:r>
          </w:p>
        </w:tc>
      </w:tr>
      <w:tr w:rsidR="00592D46" w14:paraId="0029084F" w14:textId="77777777" w:rsidTr="004E43F2">
        <w:tc>
          <w:tcPr>
            <w:tcW w:w="3505" w:type="dxa"/>
            <w:shd w:val="clear" w:color="auto" w:fill="8EAADB" w:themeFill="accent1" w:themeFillTint="99"/>
          </w:tcPr>
          <w:p w14:paraId="6D7646BB" w14:textId="2596EA7A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Priority Action</w:t>
            </w:r>
          </w:p>
          <w:p w14:paraId="00FB2363" w14:textId="0FC0AB3F" w:rsidR="00592D46" w:rsidRDefault="00592D46" w:rsidP="00F07633">
            <w:pPr>
              <w:jc w:val="center"/>
            </w:pPr>
            <w:r>
              <w:t>Ensuring fidelity of curriculum</w:t>
            </w:r>
          </w:p>
          <w:p w14:paraId="55FB5AE7" w14:textId="789CBF64" w:rsidR="00592D46" w:rsidRDefault="00592D46" w:rsidP="00F07633">
            <w:pPr>
              <w:jc w:val="center"/>
            </w:pPr>
            <w:r>
              <w:t>implementation and use of instructional and</w:t>
            </w:r>
            <w:r w:rsidR="00F07633">
              <w:t xml:space="preserve"> </w:t>
            </w:r>
            <w:r>
              <w:t>assessment practices with a proven track</w:t>
            </w:r>
          </w:p>
          <w:p w14:paraId="36526C39" w14:textId="4C624259" w:rsidR="00592D46" w:rsidRDefault="00592D46" w:rsidP="00F07633">
            <w:pPr>
              <w:jc w:val="center"/>
            </w:pPr>
            <w:r>
              <w:t>record of enhancing student achievement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14:paraId="3AFF1AED" w14:textId="29AE2236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Priority Action</w:t>
            </w:r>
          </w:p>
          <w:p w14:paraId="12D4C8AE" w14:textId="1F131AFD" w:rsidR="00592D46" w:rsidRDefault="00592D46" w:rsidP="00F07633">
            <w:pPr>
              <w:jc w:val="center"/>
            </w:pPr>
            <w:r>
              <w:t>Engaging in ongoing learning</w:t>
            </w:r>
          </w:p>
          <w:p w14:paraId="08237AC1" w14:textId="77777777" w:rsidR="00592D46" w:rsidRDefault="00592D46" w:rsidP="00F07633">
            <w:pPr>
              <w:jc w:val="center"/>
            </w:pPr>
            <w:r>
              <w:t>to strengthen mathematics content knowledge</w:t>
            </w:r>
          </w:p>
          <w:p w14:paraId="130E9071" w14:textId="5428F2C9" w:rsidR="00592D46" w:rsidRDefault="00592D46" w:rsidP="00F07633">
            <w:pPr>
              <w:jc w:val="center"/>
            </w:pPr>
            <w:r>
              <w:t>for teaching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36AC6BC4" w14:textId="18634DEE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Priority Action</w:t>
            </w:r>
          </w:p>
          <w:p w14:paraId="17119841" w14:textId="67B8C6B8" w:rsidR="00592D46" w:rsidRDefault="00592D46" w:rsidP="00F07633">
            <w:pPr>
              <w:jc w:val="center"/>
            </w:pPr>
            <w:r>
              <w:t>Knowing the mathematics</w:t>
            </w:r>
          </w:p>
          <w:p w14:paraId="190AB4C8" w14:textId="77777777" w:rsidR="00592D46" w:rsidRDefault="00592D46" w:rsidP="00F07633">
            <w:pPr>
              <w:jc w:val="center"/>
            </w:pPr>
            <w:r>
              <w:t>learner and ensuring mathematical tasks,</w:t>
            </w:r>
          </w:p>
          <w:p w14:paraId="4AC614DA" w14:textId="77777777" w:rsidR="00592D46" w:rsidRDefault="00592D46" w:rsidP="00F07633">
            <w:pPr>
              <w:jc w:val="center"/>
            </w:pPr>
            <w:r>
              <w:t>interventions, and supports are relevant and</w:t>
            </w:r>
          </w:p>
          <w:p w14:paraId="30C7E856" w14:textId="2C1AD1E1" w:rsidR="00592D46" w:rsidRDefault="00592D46" w:rsidP="00F07633">
            <w:pPr>
              <w:jc w:val="center"/>
            </w:pPr>
            <w:r>
              <w:t>responsive</w:t>
            </w:r>
          </w:p>
        </w:tc>
      </w:tr>
      <w:tr w:rsidR="00592D46" w14:paraId="0728FBF5" w14:textId="77777777" w:rsidTr="004E43F2">
        <w:tc>
          <w:tcPr>
            <w:tcW w:w="3505" w:type="dxa"/>
          </w:tcPr>
          <w:p w14:paraId="3E835EE2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Board</w:t>
            </w:r>
          </w:p>
          <w:p w14:paraId="056EBB0F" w14:textId="77777777" w:rsidR="00F24692" w:rsidRDefault="00F24692" w:rsidP="00170651">
            <w:r>
              <w:t>Prioritize understanding of the curriculum and the continuum of learning across grades (focused on priority schools)</w:t>
            </w:r>
          </w:p>
          <w:p w14:paraId="333BF3BB" w14:textId="77777777" w:rsidR="00F24692" w:rsidRDefault="00F24692" w:rsidP="00170651"/>
          <w:p w14:paraId="39128B12" w14:textId="040AF3E9" w:rsidR="00170651" w:rsidRDefault="00170651" w:rsidP="00170651">
            <w:r>
              <w:t>Provide relevant and meaningful resources and supports to increase the implementation of</w:t>
            </w:r>
          </w:p>
          <w:p w14:paraId="743DBEB5" w14:textId="58B9B5E8" w:rsidR="00170651" w:rsidRDefault="00170651" w:rsidP="00170651">
            <w:r>
              <w:t xml:space="preserve">curriculum-aligned course plans, lessons, and digital resources (e.g., Knowledgehook, MathUp) </w:t>
            </w:r>
            <w:r w:rsidR="00F90CF3">
              <w:t>and monthly</w:t>
            </w:r>
            <w:r>
              <w:t xml:space="preserve"> </w:t>
            </w:r>
            <w:r w:rsidR="00F24692">
              <w:t>numeracy</w:t>
            </w:r>
            <w:r>
              <w:t xml:space="preserve"> learning at AAC)</w:t>
            </w:r>
          </w:p>
          <w:p w14:paraId="06C634DC" w14:textId="77777777" w:rsidR="00170651" w:rsidRDefault="00170651" w:rsidP="00170651"/>
          <w:p w14:paraId="413062BD" w14:textId="7AE41D01" w:rsidR="00170651" w:rsidRDefault="00170651" w:rsidP="007347AD">
            <w:r>
              <w:t xml:space="preserve">Offer centrally developed </w:t>
            </w:r>
            <w:r w:rsidR="00550B78">
              <w:t xml:space="preserve">instructional </w:t>
            </w:r>
            <w:r>
              <w:t>resources such as M</w:t>
            </w:r>
            <w:r w:rsidR="007347AD">
              <w:t xml:space="preserve">athUp and </w:t>
            </w:r>
            <w:r>
              <w:t xml:space="preserve">Knowledgehook. These include links to engaging, open-ended problem-solving tasks, diverse assessment opportunities, and encourage the </w:t>
            </w:r>
            <w:r w:rsidR="00E46219">
              <w:t>use</w:t>
            </w:r>
            <w:r>
              <w:t xml:space="preserve"> of high-impact instructional practices (</w:t>
            </w:r>
            <w:r w:rsidR="00F90CF3">
              <w:t>e.g.,</w:t>
            </w:r>
            <w:r>
              <w:t xml:space="preserve"> direct instruction, math conversations,</w:t>
            </w:r>
            <w:r w:rsidR="007347AD">
              <w:t xml:space="preserve"> </w:t>
            </w:r>
            <w:r>
              <w:t>small-group instruction, flexible</w:t>
            </w:r>
            <w:r w:rsidR="007347AD">
              <w:t xml:space="preserve"> gr</w:t>
            </w:r>
            <w:r>
              <w:t>oupings</w:t>
            </w:r>
            <w:r w:rsidR="00E46219">
              <w:t>,</w:t>
            </w:r>
            <w:r w:rsidR="007347AD">
              <w:t xml:space="preserve"> </w:t>
            </w:r>
            <w:r>
              <w:t xml:space="preserve">including the use of </w:t>
            </w:r>
            <w:r w:rsidR="007347AD">
              <w:t>d</w:t>
            </w:r>
            <w:r>
              <w:t>evelopmentally appropriate</w:t>
            </w:r>
            <w:r w:rsidR="007347AD">
              <w:t xml:space="preserve"> </w:t>
            </w:r>
            <w:r>
              <w:t>tools and representations</w:t>
            </w:r>
          </w:p>
        </w:tc>
        <w:tc>
          <w:tcPr>
            <w:tcW w:w="3690" w:type="dxa"/>
          </w:tcPr>
          <w:p w14:paraId="065C5F4C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Board</w:t>
            </w:r>
          </w:p>
          <w:p w14:paraId="2C5BD2E3" w14:textId="6E4CB074" w:rsidR="00581BF0" w:rsidRDefault="00581BF0" w:rsidP="00170651">
            <w:r>
              <w:t>Utilize student achievement data and student work to establish focus areas for mathematics professional learning</w:t>
            </w:r>
            <w:r w:rsidR="00A06FF2">
              <w:t xml:space="preserve"> (destreaming coaches and transition teacher work in Grades 7-9)</w:t>
            </w:r>
            <w:r>
              <w:t xml:space="preserve"> </w:t>
            </w:r>
          </w:p>
          <w:p w14:paraId="17E1930B" w14:textId="77777777" w:rsidR="00581BF0" w:rsidRDefault="00581BF0" w:rsidP="00170651"/>
          <w:p w14:paraId="0C01127C" w14:textId="3AB4C57A" w:rsidR="00170651" w:rsidRDefault="00170651" w:rsidP="00581BF0">
            <w:r>
              <w:t>Build capacity through ongoing professional</w:t>
            </w:r>
            <w:r w:rsidR="00F07633">
              <w:t xml:space="preserve"> </w:t>
            </w:r>
            <w:r>
              <w:t>learning opportunities by encouraging the</w:t>
            </w:r>
            <w:r w:rsidR="00A06FF2">
              <w:t xml:space="preserve"> </w:t>
            </w:r>
            <w:r>
              <w:t>acquisition of Additional Qualification courses in</w:t>
            </w:r>
            <w:r w:rsidR="00A06FF2">
              <w:t xml:space="preserve"> </w:t>
            </w:r>
            <w:r>
              <w:t xml:space="preserve">mathematics. Prioritize mathematics </w:t>
            </w:r>
            <w:r w:rsidR="00F07633">
              <w:t>content knowledge</w:t>
            </w:r>
            <w:r>
              <w:t xml:space="preserve"> for teaching in professional learning</w:t>
            </w:r>
            <w:r w:rsidR="00581BF0">
              <w:t xml:space="preserve"> </w:t>
            </w:r>
            <w:r>
              <w:t>opportunities</w:t>
            </w:r>
          </w:p>
          <w:p w14:paraId="20E95AE0" w14:textId="77777777" w:rsidR="00581BF0" w:rsidRDefault="00581BF0" w:rsidP="00581BF0"/>
          <w:p w14:paraId="5C8EC83C" w14:textId="59C2BFAE" w:rsidR="00170651" w:rsidRDefault="00170651" w:rsidP="00170651">
            <w:r>
              <w:t>Identify priority schools</w:t>
            </w:r>
            <w:r w:rsidR="00581BF0">
              <w:t xml:space="preserve"> for </w:t>
            </w:r>
            <w:r>
              <w:t>additional</w:t>
            </w:r>
            <w:r w:rsidR="00581BF0">
              <w:t xml:space="preserve"> support using math facilitators and consultant </w:t>
            </w:r>
            <w:r>
              <w:t xml:space="preserve">and </w:t>
            </w:r>
            <w:r w:rsidR="00DF59A9">
              <w:t xml:space="preserve">sharing </w:t>
            </w:r>
            <w:r>
              <w:t>materials to support student</w:t>
            </w:r>
            <w:r w:rsidR="00DF59A9">
              <w:t xml:space="preserve"> </w:t>
            </w:r>
            <w:r>
              <w:t>learning and provide targeted interventions</w:t>
            </w:r>
          </w:p>
          <w:p w14:paraId="005A5F43" w14:textId="77777777" w:rsidR="00DF59A9" w:rsidRDefault="00DF59A9" w:rsidP="00170651"/>
          <w:p w14:paraId="5125765E" w14:textId="77777777" w:rsidR="00170651" w:rsidRDefault="00170651" w:rsidP="00DF59A9">
            <w:r>
              <w:t>Evaluate the effectiveness of intervention</w:t>
            </w:r>
            <w:r w:rsidR="00DF59A9">
              <w:t xml:space="preserve"> </w:t>
            </w:r>
            <w:r>
              <w:t>and share effective strategies across all</w:t>
            </w:r>
            <w:r w:rsidR="00DF59A9">
              <w:t xml:space="preserve"> </w:t>
            </w:r>
            <w:r>
              <w:t>schools in the system</w:t>
            </w:r>
          </w:p>
          <w:p w14:paraId="5F6FB857" w14:textId="77777777" w:rsidR="00F90CF3" w:rsidRDefault="00F90CF3" w:rsidP="00DF59A9"/>
          <w:p w14:paraId="7848D4A9" w14:textId="2ECAB4C0" w:rsidR="00F90CF3" w:rsidRDefault="00F90CF3" w:rsidP="00DF59A9">
            <w:r>
              <w:t>Develop communication plan for SEAC, RCPIC and board website for sharing the Math Action Plan</w:t>
            </w:r>
          </w:p>
        </w:tc>
        <w:tc>
          <w:tcPr>
            <w:tcW w:w="3870" w:type="dxa"/>
          </w:tcPr>
          <w:p w14:paraId="0AA86E91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Board</w:t>
            </w:r>
          </w:p>
          <w:p w14:paraId="0B77C908" w14:textId="77777777" w:rsidR="00F90CF3" w:rsidRDefault="00F90CF3" w:rsidP="00170651">
            <w:r>
              <w:t>Build capacity in data analysis resources to understand mathematics achievement from a variety of sources, including alignment between EQAO are report cards and locally developed assessment tools and tasks</w:t>
            </w:r>
          </w:p>
          <w:p w14:paraId="65763D64" w14:textId="77777777" w:rsidR="00F90CF3" w:rsidRDefault="00F90CF3" w:rsidP="00170651"/>
          <w:p w14:paraId="5AF0B353" w14:textId="1A413679" w:rsidR="00170651" w:rsidRDefault="00170651" w:rsidP="00170651">
            <w:r>
              <w:t xml:space="preserve">Elementary </w:t>
            </w:r>
            <w:r w:rsidR="00F90CF3">
              <w:t>m</w:t>
            </w:r>
            <w:r>
              <w:t xml:space="preserve">athematics </w:t>
            </w:r>
            <w:r w:rsidR="00F90CF3">
              <w:t>f</w:t>
            </w:r>
            <w:r>
              <w:t>acilitators will work in priority schools, collaborating with educators and</w:t>
            </w:r>
            <w:r w:rsidR="00F90CF3">
              <w:t xml:space="preserve"> </w:t>
            </w:r>
            <w:r>
              <w:t>administrators to provide targeted interventions,</w:t>
            </w:r>
            <w:r w:rsidR="00F90CF3">
              <w:t xml:space="preserve"> </w:t>
            </w:r>
            <w:r>
              <w:t>instructional, and assessment support to Grade 3 and</w:t>
            </w:r>
            <w:r w:rsidR="004E43F2">
              <w:t xml:space="preserve"> </w:t>
            </w:r>
            <w:r>
              <w:t>Grade 6 students and teachers</w:t>
            </w:r>
          </w:p>
          <w:p w14:paraId="4E3BF151" w14:textId="77777777" w:rsidR="00F90CF3" w:rsidRDefault="00F90CF3" w:rsidP="00170651"/>
          <w:p w14:paraId="209031B3" w14:textId="6B2658D0" w:rsidR="00170651" w:rsidRDefault="00170651" w:rsidP="00F90CF3">
            <w:r>
              <w:t>Promote the use of accessible mathematics</w:t>
            </w:r>
            <w:r w:rsidR="004E43F2">
              <w:t xml:space="preserve"> </w:t>
            </w:r>
            <w:r>
              <w:t>resources to empower students, parents/guardians</w:t>
            </w:r>
            <w:r w:rsidR="00F90CF3">
              <w:t xml:space="preserve">/caregivers, </w:t>
            </w:r>
            <w:r>
              <w:t>and teachers in supporting all students. These</w:t>
            </w:r>
            <w:r w:rsidR="00F90CF3">
              <w:t xml:space="preserve"> </w:t>
            </w:r>
            <w:r>
              <w:t>resources include Math</w:t>
            </w:r>
            <w:r w:rsidR="00F90CF3">
              <w:t>Up</w:t>
            </w:r>
            <w:r>
              <w:t xml:space="preserve">, Knowledgehook, </w:t>
            </w:r>
            <w:r w:rsidR="00F90CF3">
              <w:t>and real-world math activities for at home use</w:t>
            </w:r>
          </w:p>
          <w:p w14:paraId="56CF761E" w14:textId="77777777" w:rsidR="00170651" w:rsidRDefault="00170651" w:rsidP="00170651"/>
          <w:p w14:paraId="1D13441E" w14:textId="65D43F03" w:rsidR="00170651" w:rsidRDefault="00170651" w:rsidP="00170651"/>
        </w:tc>
      </w:tr>
      <w:tr w:rsidR="00592D46" w14:paraId="5E5B4D58" w14:textId="77777777" w:rsidTr="004E43F2">
        <w:tc>
          <w:tcPr>
            <w:tcW w:w="3505" w:type="dxa"/>
          </w:tcPr>
          <w:p w14:paraId="318678EB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t>School</w:t>
            </w:r>
          </w:p>
          <w:p w14:paraId="3AC9FF04" w14:textId="54917368" w:rsidR="00170651" w:rsidRDefault="00170651" w:rsidP="00170651">
            <w:r>
              <w:lastRenderedPageBreak/>
              <w:t>Engage in ongoing professional learning (e.g., in</w:t>
            </w:r>
          </w:p>
          <w:p w14:paraId="724921E7" w14:textId="77777777" w:rsidR="00170651" w:rsidRDefault="00170651" w:rsidP="00170651">
            <w:r>
              <w:t>grade/division/department meetings, learning</w:t>
            </w:r>
          </w:p>
          <w:p w14:paraId="4A569D4D" w14:textId="7F6DD761" w:rsidR="00170651" w:rsidRDefault="00170651" w:rsidP="00443FF8">
            <w:r>
              <w:t>teams, classroom visits) of the curriculum, including</w:t>
            </w:r>
            <w:r w:rsidR="00443FF8">
              <w:t xml:space="preserve"> </w:t>
            </w:r>
            <w:r>
              <w:t>making connections across strands</w:t>
            </w:r>
            <w:r w:rsidR="00443FF8">
              <w:t xml:space="preserve"> (PD before intensive support begins for capacity building in video form)</w:t>
            </w:r>
          </w:p>
        </w:tc>
        <w:tc>
          <w:tcPr>
            <w:tcW w:w="3690" w:type="dxa"/>
          </w:tcPr>
          <w:p w14:paraId="6EE9D98A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lastRenderedPageBreak/>
              <w:t>School</w:t>
            </w:r>
          </w:p>
          <w:p w14:paraId="432601F9" w14:textId="14241D36" w:rsidR="00EB7B97" w:rsidRDefault="00EB7B97" w:rsidP="00EB7B97">
            <w:r>
              <w:lastRenderedPageBreak/>
              <w:t>Engage in regular collaborative meetings (e.g.,</w:t>
            </w:r>
            <w:r w:rsidR="00DF59A9">
              <w:t xml:space="preserve"> </w:t>
            </w:r>
            <w:r>
              <w:t>team teaching, collaborative analysis of student</w:t>
            </w:r>
            <w:r w:rsidR="00DF59A9">
              <w:t xml:space="preserve"> </w:t>
            </w:r>
            <w:r>
              <w:t>work, school and/or board networks, classroom</w:t>
            </w:r>
            <w:r w:rsidR="00443FF8">
              <w:t xml:space="preserve"> </w:t>
            </w:r>
            <w:r>
              <w:t>visits) to deepen knowledge of mathematics,</w:t>
            </w:r>
            <w:r w:rsidR="00DF59A9">
              <w:t xml:space="preserve"> </w:t>
            </w:r>
            <w:r>
              <w:t>curriculum, instructional starting points,</w:t>
            </w:r>
          </w:p>
          <w:p w14:paraId="559462A2" w14:textId="32CFAE20" w:rsidR="00EB7B97" w:rsidRDefault="00EB7B97" w:rsidP="00EB7B97">
            <w:r>
              <w:t>interventions, and assessment and evaluation</w:t>
            </w:r>
            <w:r w:rsidR="00DF59A9">
              <w:t xml:space="preserve"> </w:t>
            </w:r>
            <w:r>
              <w:t>practices</w:t>
            </w:r>
          </w:p>
          <w:p w14:paraId="04688D93" w14:textId="77777777" w:rsidR="00EB7B97" w:rsidRDefault="00EB7B97"/>
          <w:p w14:paraId="77DD6EC2" w14:textId="16AEBCBF" w:rsidR="00F90CF3" w:rsidRDefault="00EB7B97" w:rsidP="00F90CF3">
            <w:r>
              <w:t>Collaborate with Board Math Lead to identify</w:t>
            </w:r>
            <w:r w:rsidR="00DF59A9">
              <w:t xml:space="preserve"> </w:t>
            </w:r>
            <w:r>
              <w:t>school/division/grade mathematics content</w:t>
            </w:r>
            <w:r w:rsidR="00DF59A9">
              <w:t xml:space="preserve"> </w:t>
            </w:r>
            <w:r>
              <w:t>knowledge focus areas, including planning and</w:t>
            </w:r>
            <w:r w:rsidR="00DF59A9">
              <w:t xml:space="preserve"> </w:t>
            </w:r>
            <w:r>
              <w:t>monitoring associated professional learning</w:t>
            </w:r>
          </w:p>
        </w:tc>
        <w:tc>
          <w:tcPr>
            <w:tcW w:w="3870" w:type="dxa"/>
          </w:tcPr>
          <w:p w14:paraId="51331248" w14:textId="77777777" w:rsidR="00592D46" w:rsidRPr="00F07633" w:rsidRDefault="00592D46" w:rsidP="00F07633">
            <w:pPr>
              <w:jc w:val="center"/>
              <w:rPr>
                <w:b/>
                <w:bCs/>
              </w:rPr>
            </w:pPr>
            <w:r w:rsidRPr="00F07633">
              <w:rPr>
                <w:b/>
                <w:bCs/>
              </w:rPr>
              <w:lastRenderedPageBreak/>
              <w:t>School</w:t>
            </w:r>
          </w:p>
          <w:p w14:paraId="3651A908" w14:textId="5D844EB9" w:rsidR="00EB7B97" w:rsidRDefault="00EB7B97" w:rsidP="00EB7B97">
            <w:r>
              <w:lastRenderedPageBreak/>
              <w:t>Integrate BHNCDSB Math Action Plan items into School Student Achievement Plans</w:t>
            </w:r>
          </w:p>
          <w:p w14:paraId="77B77BA3" w14:textId="77777777" w:rsidR="00F90CF3" w:rsidRDefault="00F90CF3" w:rsidP="00EB7B97"/>
          <w:p w14:paraId="0B5357CE" w14:textId="774AF110" w:rsidR="00EB7B97" w:rsidRDefault="00F90CF3" w:rsidP="00EB7B97">
            <w:r>
              <w:t>Determine key content areas, informed by EQAO data, BHNCDSB developed math screening tool</w:t>
            </w:r>
            <w:r w:rsidR="00F97E31">
              <w:t>, and other data</w:t>
            </w:r>
            <w:r>
              <w:t xml:space="preserve">, to determine where students may be struggling most </w:t>
            </w:r>
          </w:p>
          <w:p w14:paraId="2FBF6B4E" w14:textId="77777777" w:rsidR="00F90CF3" w:rsidRDefault="00F90CF3" w:rsidP="00EB7B97"/>
          <w:p w14:paraId="0F32193E" w14:textId="1DBD6A9E" w:rsidR="00EB7B97" w:rsidRDefault="00EB7B97" w:rsidP="00EB7B97">
            <w:r>
              <w:t>Integrate high-impact instructional practices (</w:t>
            </w:r>
            <w:r w:rsidR="00F90CF3">
              <w:t>e.g.,</w:t>
            </w:r>
            <w:r>
              <w:t xml:space="preserve"> direct instruction, mathematics conversations, small-group instruction, flexible groupings) across grades/divisions that foster student ownership of</w:t>
            </w:r>
            <w:r w:rsidR="00F97E31">
              <w:t xml:space="preserve"> </w:t>
            </w:r>
            <w:r>
              <w:t>mathematics, while ensuring all students have accessible entry points into learning</w:t>
            </w:r>
          </w:p>
          <w:p w14:paraId="4A79D6CA" w14:textId="77777777" w:rsidR="00EB7B97" w:rsidRDefault="00EB7B97" w:rsidP="00EB7B97"/>
          <w:p w14:paraId="04EEF5E0" w14:textId="26DA7B11" w:rsidR="00EB7B97" w:rsidRDefault="00EB7B97" w:rsidP="00EB7B97"/>
        </w:tc>
      </w:tr>
      <w:tr w:rsidR="00592D46" w14:paraId="1479ED02" w14:textId="77777777" w:rsidTr="004E43F2">
        <w:tc>
          <w:tcPr>
            <w:tcW w:w="3505" w:type="dxa"/>
          </w:tcPr>
          <w:p w14:paraId="511C2560" w14:textId="77777777" w:rsidR="00592D46" w:rsidRPr="001A7156" w:rsidRDefault="00592D46" w:rsidP="00EB7B97">
            <w:pPr>
              <w:jc w:val="center"/>
              <w:rPr>
                <w:b/>
                <w:bCs/>
              </w:rPr>
            </w:pPr>
            <w:r w:rsidRPr="001A7156">
              <w:rPr>
                <w:b/>
                <w:bCs/>
              </w:rPr>
              <w:lastRenderedPageBreak/>
              <w:t>Classroom</w:t>
            </w:r>
          </w:p>
          <w:p w14:paraId="75BD6114" w14:textId="44FFB3F4" w:rsidR="00EB7B97" w:rsidRDefault="00EB7B97" w:rsidP="00EB7B97">
            <w:r>
              <w:t xml:space="preserve">Draw explicit connections between mathematical processes and lesson plans using </w:t>
            </w:r>
            <w:r w:rsidR="00F90CF3">
              <w:t>high impact</w:t>
            </w:r>
          </w:p>
          <w:p w14:paraId="137D2761" w14:textId="7549687F" w:rsidR="00EB7B97" w:rsidRDefault="00EB7B97" w:rsidP="00EB7B97">
            <w:r>
              <w:t>instructional practices (</w:t>
            </w:r>
            <w:r w:rsidR="00F90CF3">
              <w:t>e.g.,</w:t>
            </w:r>
            <w:r>
              <w:t xml:space="preserve"> mathematics conversations, small-group instruction, flexible groupings</w:t>
            </w:r>
            <w:r w:rsidR="00573D00">
              <w:t>, and tools and representations; Thinking Classrooms in Grade 9)</w:t>
            </w:r>
          </w:p>
          <w:p w14:paraId="3713BD3F" w14:textId="77777777" w:rsidR="00EB7B97" w:rsidRDefault="00EB7B97" w:rsidP="00EB7B97"/>
          <w:p w14:paraId="2CE37BDE" w14:textId="4E92698E" w:rsidR="00EB7B97" w:rsidRDefault="00EB7B97" w:rsidP="00581BF0">
            <w:r>
              <w:t>Use a variety of assessment tools to inform next steps in curriculum implementation (</w:t>
            </w:r>
            <w:r w:rsidR="00F90CF3">
              <w:t>e.g., board</w:t>
            </w:r>
            <w:r w:rsidR="00581BF0">
              <w:t xml:space="preserve"> created screener </w:t>
            </w:r>
            <w:r>
              <w:t>Knowledgehook, quizzes, peer/self</w:t>
            </w:r>
            <w:r w:rsidR="00581BF0">
              <w:t>-</w:t>
            </w:r>
            <w:r>
              <w:t>assessment, exit slips</w:t>
            </w:r>
            <w:r w:rsidR="00F90CF3">
              <w:t>,</w:t>
            </w:r>
            <w:r>
              <w:t xml:space="preserve"> or other sources of student</w:t>
            </w:r>
            <w:r w:rsidR="00581BF0">
              <w:t xml:space="preserve"> </w:t>
            </w:r>
            <w:r>
              <w:t>voice)</w:t>
            </w:r>
          </w:p>
        </w:tc>
        <w:tc>
          <w:tcPr>
            <w:tcW w:w="3690" w:type="dxa"/>
          </w:tcPr>
          <w:p w14:paraId="084BECF2" w14:textId="77777777" w:rsidR="00592D46" w:rsidRPr="001A7156" w:rsidRDefault="00EB7B97" w:rsidP="00EB7B97">
            <w:pPr>
              <w:jc w:val="center"/>
              <w:rPr>
                <w:b/>
                <w:bCs/>
              </w:rPr>
            </w:pPr>
            <w:r w:rsidRPr="001A7156">
              <w:rPr>
                <w:b/>
                <w:bCs/>
              </w:rPr>
              <w:t>Classroom</w:t>
            </w:r>
          </w:p>
          <w:p w14:paraId="6555B086" w14:textId="5ED33AB2" w:rsidR="00EB7B97" w:rsidRDefault="00EB7B97" w:rsidP="00EB7B97">
            <w:r>
              <w:t>Access resources (e.g.,</w:t>
            </w:r>
            <w:r w:rsidR="009F7E30">
              <w:t xml:space="preserve"> destreaming coaches, secondary and elementary math consultants, elementary</w:t>
            </w:r>
            <w:r>
              <w:t xml:space="preserve"> school mathematics facilitators</w:t>
            </w:r>
            <w:r w:rsidR="009F7E30">
              <w:t xml:space="preserve"> in priority classrooms</w:t>
            </w:r>
            <w:r>
              <w:t>, student success teachers,</w:t>
            </w:r>
            <w:r w:rsidR="00F90CF3">
              <w:t xml:space="preserve"> </w:t>
            </w:r>
            <w:r>
              <w:t>transition teachers), and professional learning to continuously develop</w:t>
            </w:r>
            <w:r w:rsidR="00F90CF3">
              <w:t xml:space="preserve"> </w:t>
            </w:r>
            <w:r>
              <w:t>content knowledge for teaching</w:t>
            </w:r>
          </w:p>
          <w:p w14:paraId="7D37F643" w14:textId="77777777" w:rsidR="00EB7B97" w:rsidRDefault="00EB7B97" w:rsidP="00EB7B97"/>
          <w:p w14:paraId="66EF6EE9" w14:textId="587FCADF" w:rsidR="00F90CF3" w:rsidRDefault="00EB7B97" w:rsidP="00F90CF3">
            <w:r>
              <w:t xml:space="preserve">Develop </w:t>
            </w:r>
            <w:r w:rsidR="009F7E30">
              <w:t>educator capacity in</w:t>
            </w:r>
            <w:r>
              <w:t xml:space="preserve"> foundational mathematics concepts to deliver updated curricular concepts </w:t>
            </w:r>
            <w:r w:rsidR="00F90CF3">
              <w:t>via regional, small group PD opportunities</w:t>
            </w:r>
          </w:p>
          <w:p w14:paraId="2E13D19C" w14:textId="3A815856" w:rsidR="00EB7B97" w:rsidRDefault="00EB7B97" w:rsidP="00EB7B97"/>
        </w:tc>
        <w:tc>
          <w:tcPr>
            <w:tcW w:w="3870" w:type="dxa"/>
          </w:tcPr>
          <w:p w14:paraId="62565F6A" w14:textId="77777777" w:rsidR="00592D46" w:rsidRPr="001A7156" w:rsidRDefault="00EB7B97" w:rsidP="00EB7B97">
            <w:pPr>
              <w:jc w:val="center"/>
              <w:rPr>
                <w:b/>
                <w:bCs/>
              </w:rPr>
            </w:pPr>
            <w:r w:rsidRPr="001A7156">
              <w:rPr>
                <w:b/>
                <w:bCs/>
              </w:rPr>
              <w:t>Classroom</w:t>
            </w:r>
          </w:p>
          <w:p w14:paraId="0E8E15DF" w14:textId="2347BEE2" w:rsidR="00EB7B97" w:rsidRDefault="00EB7B97" w:rsidP="00EB7B97">
            <w:r>
              <w:t>Adapt instructional practices in response to data collected from multiple, frequent assessment opportunities</w:t>
            </w:r>
          </w:p>
          <w:p w14:paraId="495D1EF8" w14:textId="2ECE8026" w:rsidR="00EB7B97" w:rsidRDefault="00EB7B97" w:rsidP="00EB7B97"/>
        </w:tc>
      </w:tr>
    </w:tbl>
    <w:p w14:paraId="16C62770" w14:textId="77777777" w:rsidR="00D46C71" w:rsidRDefault="00D46C71"/>
    <w:sectPr w:rsidR="00D46C71" w:rsidSect="00592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705"/>
    <w:multiLevelType w:val="hybridMultilevel"/>
    <w:tmpl w:val="95CAF4E8"/>
    <w:lvl w:ilvl="0" w:tplc="22047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E3D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44C3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E27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5A7C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B64F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FC19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0BA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34FC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7586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46"/>
    <w:rsid w:val="00004451"/>
    <w:rsid w:val="00170651"/>
    <w:rsid w:val="001A7156"/>
    <w:rsid w:val="00215296"/>
    <w:rsid w:val="0037607B"/>
    <w:rsid w:val="003C6F42"/>
    <w:rsid w:val="00443FF8"/>
    <w:rsid w:val="0047263B"/>
    <w:rsid w:val="004E43F2"/>
    <w:rsid w:val="00550B78"/>
    <w:rsid w:val="00573D00"/>
    <w:rsid w:val="00581BF0"/>
    <w:rsid w:val="00592D46"/>
    <w:rsid w:val="007347AD"/>
    <w:rsid w:val="008C2610"/>
    <w:rsid w:val="009F7E30"/>
    <w:rsid w:val="00A04F2E"/>
    <w:rsid w:val="00A06FF2"/>
    <w:rsid w:val="00A455A5"/>
    <w:rsid w:val="00D46C71"/>
    <w:rsid w:val="00D6005D"/>
    <w:rsid w:val="00DF59A9"/>
    <w:rsid w:val="00E46219"/>
    <w:rsid w:val="00EB7B97"/>
    <w:rsid w:val="00F07633"/>
    <w:rsid w:val="00F24692"/>
    <w:rsid w:val="00F81942"/>
    <w:rsid w:val="00F90CF3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E1DB"/>
  <w15:chartTrackingRefBased/>
  <w15:docId w15:val="{3A472240-A4BB-4DF2-B973-336AC96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9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3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0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Ann Temple</dc:creator>
  <cp:keywords/>
  <dc:description/>
  <cp:lastModifiedBy>Lorrie Ann Temple</cp:lastModifiedBy>
  <cp:revision>24</cp:revision>
  <dcterms:created xsi:type="dcterms:W3CDTF">2023-10-21T23:49:00Z</dcterms:created>
  <dcterms:modified xsi:type="dcterms:W3CDTF">2023-10-28T12:45:00Z</dcterms:modified>
</cp:coreProperties>
</file>